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5"/>
          <w:szCs w:val="25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ЗАОЧНОЕ РЕШЕНИЕ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 года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секретаре судебных заседаний Бекетовой Н.И.,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5"/>
          <w:szCs w:val="25"/>
        </w:rPr>
        <w:t>971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-2803/2026 по исковому заявлению ООО МКК «А ДЕНЬГИ» к </w:t>
      </w:r>
      <w:r>
        <w:rPr>
          <w:rFonts w:ascii="Times New Roman" w:eastAsia="Times New Roman" w:hAnsi="Times New Roman" w:cs="Times New Roman"/>
          <w:sz w:val="25"/>
          <w:szCs w:val="25"/>
        </w:rPr>
        <w:t>Потоцкому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Александру Сергеевичу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задолженности по договору займа,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ст.ст.194-199, 235 ГПК РФ, мировой судья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 е ш и 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удовлетворить исковое заявление ООО МКК «А ДЕНЬГИ» (ИНН: 7708400979) к </w:t>
      </w:r>
      <w:r>
        <w:rPr>
          <w:rFonts w:ascii="Times New Roman" w:eastAsia="Times New Roman" w:hAnsi="Times New Roman" w:cs="Times New Roman"/>
          <w:sz w:val="25"/>
          <w:szCs w:val="25"/>
        </w:rPr>
        <w:t>Потоцкому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Александру Сергеевичу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ИНН: </w:t>
      </w:r>
      <w:r>
        <w:rPr>
          <w:rStyle w:val="cat-UserDefinedgrp-19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17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) о взыскании задолженности по договору займа.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Потоцкого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Сергеевича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ООО МКК «А ДЕНЬГИ» задолженность по договору займа №</w:t>
      </w:r>
      <w:r>
        <w:rPr>
          <w:rFonts w:ascii="Times New Roman" w:eastAsia="Times New Roman" w:hAnsi="Times New Roman" w:cs="Times New Roman"/>
          <w:sz w:val="25"/>
          <w:szCs w:val="25"/>
        </w:rPr>
        <w:t>15606894 от 15.03.2024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950,00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руб., в том числе,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500,00 руб. – 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основного долга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329,04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 – проценты за пользование займом за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16.03.2024 по 17.08.2024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120,96 руб. –неустойка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Потоцкого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Сергеевича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ООО МКК «А ДЕНЬГИ» расходы по оплате государственной пошлины в размере 4000 руб.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11">
    <w:name w:val="cat-UserDefined grp-19 rplc-11"/>
    <w:basedOn w:val="DefaultParagraphFont"/>
  </w:style>
  <w:style w:type="character" w:customStyle="1" w:styleId="cat-PassportDatagrp-17rplc-12">
    <w:name w:val="cat-PassportData grp-17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